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6C0" w:rsidRDefault="009956C0" w:rsidP="009956C0">
      <w:pPr>
        <w:jc w:val="center"/>
        <w:rPr>
          <w:rFonts w:ascii="Trebuchet MS" w:hAnsi="Trebuchet MS"/>
          <w:b/>
          <w:color w:val="4F81BD" w:themeColor="accent1"/>
          <w:sz w:val="28"/>
        </w:rPr>
      </w:pPr>
      <w:r>
        <w:rPr>
          <w:b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 wp14:anchorId="00407579" wp14:editId="43E74653">
            <wp:simplePos x="0" y="0"/>
            <wp:positionH relativeFrom="column">
              <wp:posOffset>2816225</wp:posOffset>
            </wp:positionH>
            <wp:positionV relativeFrom="paragraph">
              <wp:posOffset>-22225</wp:posOffset>
            </wp:positionV>
            <wp:extent cx="1073785" cy="1045210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slr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8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56C0" w:rsidRDefault="009956C0" w:rsidP="009956C0">
      <w:pPr>
        <w:jc w:val="center"/>
        <w:rPr>
          <w:rFonts w:ascii="Trebuchet MS" w:hAnsi="Trebuchet MS"/>
          <w:b/>
          <w:color w:val="4F81BD" w:themeColor="accent1"/>
          <w:sz w:val="28"/>
        </w:rPr>
      </w:pPr>
    </w:p>
    <w:p w:rsidR="009956C0" w:rsidRDefault="009956C0" w:rsidP="009956C0">
      <w:pPr>
        <w:jc w:val="center"/>
        <w:rPr>
          <w:rFonts w:ascii="Trebuchet MS" w:hAnsi="Trebuchet MS"/>
          <w:b/>
          <w:color w:val="4F81BD" w:themeColor="accent1"/>
          <w:sz w:val="28"/>
        </w:rPr>
      </w:pPr>
    </w:p>
    <w:p w:rsidR="009956C0" w:rsidRDefault="009956C0" w:rsidP="009956C0">
      <w:pPr>
        <w:jc w:val="center"/>
        <w:rPr>
          <w:rFonts w:ascii="Trebuchet MS" w:hAnsi="Trebuchet MS"/>
          <w:b/>
          <w:color w:val="4F81BD" w:themeColor="accent1"/>
          <w:sz w:val="28"/>
        </w:rPr>
      </w:pPr>
    </w:p>
    <w:p w:rsidR="009956C0" w:rsidRDefault="009956C0" w:rsidP="009956C0">
      <w:pPr>
        <w:jc w:val="center"/>
        <w:rPr>
          <w:rFonts w:ascii="Trebuchet MS" w:hAnsi="Trebuchet MS"/>
          <w:b/>
          <w:color w:val="4F81BD" w:themeColor="accent1"/>
          <w:sz w:val="28"/>
        </w:rPr>
      </w:pPr>
    </w:p>
    <w:p w:rsidR="009956C0" w:rsidRPr="009956C0" w:rsidRDefault="009956C0" w:rsidP="009956C0">
      <w:pPr>
        <w:jc w:val="center"/>
        <w:rPr>
          <w:rFonts w:ascii="Trebuchet MS" w:hAnsi="Trebuchet MS"/>
          <w:b/>
          <w:color w:val="4F81BD" w:themeColor="accent1"/>
          <w:sz w:val="18"/>
        </w:rPr>
      </w:pPr>
    </w:p>
    <w:p w:rsidR="00B8643F" w:rsidRPr="009956C0" w:rsidRDefault="00DC2EE3" w:rsidP="009956C0">
      <w:pPr>
        <w:jc w:val="center"/>
        <w:rPr>
          <w:rFonts w:ascii="Trebuchet MS" w:hAnsi="Trebuchet MS"/>
          <w:b/>
          <w:color w:val="4F81BD" w:themeColor="accent1"/>
          <w:sz w:val="36"/>
        </w:rPr>
      </w:pPr>
      <w:bookmarkStart w:id="0" w:name="_GoBack"/>
      <w:bookmarkEnd w:id="0"/>
      <w:r w:rsidRPr="009956C0">
        <w:rPr>
          <w:rFonts w:ascii="Trebuchet MS" w:hAnsi="Trebuchet MS"/>
          <w:b/>
          <w:color w:val="4F81BD" w:themeColor="accent1"/>
          <w:sz w:val="36"/>
        </w:rPr>
        <w:t>Eyemouth High School Professional Reading Library</w:t>
      </w:r>
    </w:p>
    <w:p w:rsidR="00DC2EE3" w:rsidRPr="009956C0" w:rsidRDefault="00DC2EE3" w:rsidP="009956C0">
      <w:pPr>
        <w:jc w:val="center"/>
        <w:rPr>
          <w:rFonts w:ascii="Trebuchet MS" w:hAnsi="Trebuchet MS"/>
          <w:b/>
          <w:sz w:val="36"/>
        </w:rPr>
      </w:pPr>
      <w:r w:rsidRPr="009956C0">
        <w:rPr>
          <w:rFonts w:ascii="Trebuchet MS" w:hAnsi="Trebuchet MS"/>
          <w:b/>
          <w:sz w:val="36"/>
        </w:rPr>
        <w:t>Catalogue</w:t>
      </w:r>
    </w:p>
    <w:p w:rsidR="00DC2EE3" w:rsidRDefault="00DC2EE3" w:rsidP="00DC2EE3">
      <w:pPr>
        <w:tabs>
          <w:tab w:val="left" w:pos="6804"/>
        </w:tabs>
        <w:rPr>
          <w:rFonts w:ascii="Trebuchet MS" w:hAnsi="Trebuchet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4"/>
        <w:gridCol w:w="2835"/>
        <w:gridCol w:w="2370"/>
        <w:gridCol w:w="891"/>
      </w:tblGrid>
      <w:tr w:rsidR="000C3550" w:rsidRPr="000C3550" w:rsidTr="00713724">
        <w:trPr>
          <w:trHeight w:val="511"/>
        </w:trPr>
        <w:tc>
          <w:tcPr>
            <w:tcW w:w="4644" w:type="dxa"/>
            <w:vAlign w:val="center"/>
          </w:tcPr>
          <w:p w:rsidR="00766D33" w:rsidRPr="000C3550" w:rsidRDefault="000C3550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  <w:b/>
                <w:color w:val="4F81BD" w:themeColor="accent1"/>
              </w:rPr>
            </w:pPr>
            <w:r w:rsidRPr="000C3550">
              <w:rPr>
                <w:rFonts w:ascii="Trebuchet MS" w:hAnsi="Trebuchet MS"/>
                <w:b/>
                <w:color w:val="4F81BD" w:themeColor="accent1"/>
              </w:rPr>
              <w:t>Book</w:t>
            </w:r>
          </w:p>
        </w:tc>
        <w:tc>
          <w:tcPr>
            <w:tcW w:w="2835" w:type="dxa"/>
            <w:vAlign w:val="center"/>
          </w:tcPr>
          <w:p w:rsidR="00766D33" w:rsidRPr="000C3550" w:rsidRDefault="000C3550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  <w:b/>
                <w:color w:val="4F81BD" w:themeColor="accent1"/>
              </w:rPr>
            </w:pPr>
            <w:r w:rsidRPr="000C3550">
              <w:rPr>
                <w:rFonts w:ascii="Trebuchet MS" w:hAnsi="Trebuchet MS"/>
                <w:b/>
                <w:color w:val="4F81BD" w:themeColor="accent1"/>
              </w:rPr>
              <w:t>Author(s)</w:t>
            </w:r>
          </w:p>
        </w:tc>
        <w:tc>
          <w:tcPr>
            <w:tcW w:w="2370" w:type="dxa"/>
            <w:vAlign w:val="center"/>
          </w:tcPr>
          <w:p w:rsidR="00766D33" w:rsidRPr="000C3550" w:rsidRDefault="00766D33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  <w:b/>
                <w:color w:val="4F81BD" w:themeColor="accent1"/>
              </w:rPr>
            </w:pPr>
            <w:r w:rsidRPr="000C3550">
              <w:rPr>
                <w:rFonts w:ascii="Trebuchet MS" w:hAnsi="Trebuchet MS"/>
                <w:b/>
                <w:color w:val="4F81BD" w:themeColor="accent1"/>
              </w:rPr>
              <w:t>LET</w:t>
            </w:r>
            <w:r w:rsidR="000C3550" w:rsidRPr="000C3550">
              <w:rPr>
                <w:rFonts w:ascii="Trebuchet MS" w:hAnsi="Trebuchet MS"/>
                <w:b/>
                <w:color w:val="4F81BD" w:themeColor="accent1"/>
              </w:rPr>
              <w:t xml:space="preserve"> Elements</w:t>
            </w:r>
          </w:p>
        </w:tc>
        <w:tc>
          <w:tcPr>
            <w:tcW w:w="891" w:type="dxa"/>
            <w:vAlign w:val="center"/>
          </w:tcPr>
          <w:p w:rsidR="00766D33" w:rsidRPr="000C3550" w:rsidRDefault="000C3550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  <w:b/>
                <w:color w:val="4F81BD" w:themeColor="accent1"/>
              </w:rPr>
            </w:pPr>
            <w:r w:rsidRPr="000C3550">
              <w:rPr>
                <w:rFonts w:ascii="Trebuchet MS" w:hAnsi="Trebuchet MS"/>
                <w:b/>
                <w:color w:val="4F81BD" w:themeColor="accent1"/>
              </w:rPr>
              <w:t>Copies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Why Knowledge Matters: Rescuing Our Children from Failed Educational Theories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E. D. Hirsch, Jr.</w:t>
            </w:r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Knowledge and the Future School: Curriculum and Social Justice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Michael Young and David Lambert</w:t>
            </w:r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Trivium 21c: Preparing young people for the future with lessons from the past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Martin Robinson</w:t>
            </w:r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Responsive Teaching</w:t>
            </w:r>
            <w:r w:rsidRPr="004A162C">
              <w:rPr>
                <w:rStyle w:val="a-size-extra-large"/>
                <w:rFonts w:ascii="Trebuchet MS" w:hAnsi="Trebuchet MS"/>
              </w:rPr>
              <w:t>: Cognitive Science and Formative Assessment in Practice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Harry Fletcher</w:t>
            </w:r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1-3, 9, 10, 11, 12, 19, 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4A162C" w:rsidTr="00E44A7D">
        <w:trPr>
          <w:trHeight w:val="511"/>
        </w:trPr>
        <w:tc>
          <w:tcPr>
            <w:tcW w:w="4644" w:type="dxa"/>
            <w:vAlign w:val="center"/>
          </w:tcPr>
          <w:p w:rsidR="004A162C" w:rsidRPr="004A162C" w:rsidRDefault="004A162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What Does This Look Like In The Classroom: Bridging The Gap Between Research And Practice</w:t>
            </w:r>
          </w:p>
        </w:tc>
        <w:tc>
          <w:tcPr>
            <w:tcW w:w="2835" w:type="dxa"/>
            <w:vAlign w:val="center"/>
          </w:tcPr>
          <w:p w:rsidR="004A162C" w:rsidRPr="004A162C" w:rsidRDefault="004A162C" w:rsidP="00E44A7D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 xml:space="preserve">Carl </w:t>
            </w:r>
            <w:proofErr w:type="spellStart"/>
            <w:r w:rsidRPr="004A162C">
              <w:rPr>
                <w:rFonts w:ascii="Trebuchet MS" w:hAnsi="Trebuchet MS"/>
              </w:rPr>
              <w:t>Hendrick</w:t>
            </w:r>
            <w:proofErr w:type="spellEnd"/>
          </w:p>
        </w:tc>
        <w:tc>
          <w:tcPr>
            <w:tcW w:w="2370" w:type="dxa"/>
            <w:vAlign w:val="center"/>
          </w:tcPr>
          <w:p w:rsidR="004A162C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1-20</w:t>
            </w:r>
          </w:p>
        </w:tc>
        <w:tc>
          <w:tcPr>
            <w:tcW w:w="891" w:type="dxa"/>
            <w:vAlign w:val="center"/>
          </w:tcPr>
          <w:p w:rsidR="004A162C" w:rsidRPr="004A162C" w:rsidRDefault="004A162C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Visible Learning: Feedback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John Hattie</w:t>
            </w:r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10 Mind</w:t>
            </w:r>
            <w:r w:rsidR="004705EC">
              <w:rPr>
                <w:rStyle w:val="a-size-extra-large"/>
                <w:rFonts w:ascii="Trebuchet MS" w:hAnsi="Trebuchet MS"/>
              </w:rPr>
              <w:t>-</w:t>
            </w:r>
            <w:r w:rsidRPr="004A162C">
              <w:rPr>
                <w:rStyle w:val="a-size-extra-large"/>
                <w:rFonts w:ascii="Trebuchet MS" w:hAnsi="Trebuchet MS"/>
              </w:rPr>
              <w:t>frames for Visible Learning: Teaching for Success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John Hattie</w:t>
            </w:r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Visible Learning and the Science of How We Learn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John Hattie</w:t>
            </w:r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Visible Learning into Action: International Case Studies of Impact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John Hattie</w:t>
            </w:r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Style w:val="a-size-extra-large"/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Classroom Behaviour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Bill Rogers</w:t>
            </w:r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17, 18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Better Behaviour: A Guide for Teachers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rPr>
                <w:rFonts w:ascii="Trebuchet MS" w:hAnsi="Trebuchet MS"/>
              </w:rPr>
            </w:pPr>
            <w:proofErr w:type="spellStart"/>
            <w:r w:rsidRPr="004A162C">
              <w:rPr>
                <w:rFonts w:ascii="Trebuchet MS" w:hAnsi="Trebuchet MS"/>
              </w:rPr>
              <w:t>Jarlath</w:t>
            </w:r>
            <w:proofErr w:type="spellEnd"/>
            <w:r w:rsidRPr="004A162C">
              <w:rPr>
                <w:rFonts w:ascii="Trebuchet MS" w:hAnsi="Trebuchet MS"/>
              </w:rPr>
              <w:t xml:space="preserve"> O’Brien</w:t>
            </w:r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17, 18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When the Adults Change, Everything Changes: Seismic shifts in school</w:t>
            </w:r>
            <w:r w:rsidRPr="004A162C">
              <w:rPr>
                <w:rStyle w:val="a-size-extra-large"/>
                <w:rFonts w:ascii="Trebuchet MS" w:hAnsi="Trebuchet MS"/>
              </w:rPr>
              <w:t xml:space="preserve"> behaviour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Paul Dix</w:t>
            </w:r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17, 18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E44A7D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Style w:val="a-size-extra-large"/>
                <w:rFonts w:ascii="Trebuchet MS" w:hAnsi="Trebuchet MS"/>
              </w:rPr>
              <w:t>Teach Like a Champion 2.0: 62 Techniques that Put Students on the Path</w:t>
            </w:r>
            <w:r w:rsidRPr="004A162C">
              <w:rPr>
                <w:rStyle w:val="a-size-extra-large"/>
                <w:rFonts w:ascii="Trebuchet MS" w:hAnsi="Trebuchet MS"/>
              </w:rPr>
              <w:t xml:space="preserve"> to College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E44A7D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 xml:space="preserve">Doug </w:t>
            </w:r>
            <w:proofErr w:type="spellStart"/>
            <w:r w:rsidRPr="004A162C">
              <w:rPr>
                <w:rFonts w:ascii="Trebuchet MS" w:hAnsi="Trebuchet MS"/>
              </w:rPr>
              <w:t>Lemov</w:t>
            </w:r>
            <w:proofErr w:type="spellEnd"/>
          </w:p>
        </w:tc>
        <w:tc>
          <w:tcPr>
            <w:tcW w:w="2370" w:type="dxa"/>
            <w:vAlign w:val="center"/>
          </w:tcPr>
          <w:p w:rsidR="006A7725" w:rsidRPr="004A162C" w:rsidRDefault="004705EC" w:rsidP="00E44A7D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E44A7D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The Learning Rainforest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713724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Tom Sherrington</w:t>
            </w:r>
          </w:p>
        </w:tc>
        <w:tc>
          <w:tcPr>
            <w:tcW w:w="2370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All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3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Creating the Schools Our Children Need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713724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 xml:space="preserve">Dylan </w:t>
            </w:r>
            <w:proofErr w:type="spellStart"/>
            <w:r w:rsidRPr="004A162C">
              <w:rPr>
                <w:rFonts w:ascii="Trebuchet MS" w:hAnsi="Trebuchet MS"/>
              </w:rPr>
              <w:t>Wiliam</w:t>
            </w:r>
            <w:proofErr w:type="spellEnd"/>
          </w:p>
        </w:tc>
        <w:tc>
          <w:tcPr>
            <w:tcW w:w="2370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All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Making Good Progress? The Future of Assessment for Learning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713724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Daisy Christodoulou</w:t>
            </w:r>
          </w:p>
        </w:tc>
        <w:tc>
          <w:tcPr>
            <w:tcW w:w="2370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1-3, 9-12, 19&amp;20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Active Learning Through Formative Assessment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713724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Shirley Clarke</w:t>
            </w:r>
          </w:p>
        </w:tc>
        <w:tc>
          <w:tcPr>
            <w:tcW w:w="2370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1-3, 8-12, 19&amp;20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Outstanding Formative Assessment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713724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 xml:space="preserve">Shirley Clarke </w:t>
            </w:r>
          </w:p>
        </w:tc>
        <w:tc>
          <w:tcPr>
            <w:tcW w:w="2370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1-3, 9-12, 19&amp;20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2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Active Assessment in English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713724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Brenda Keogh et al.</w:t>
            </w:r>
          </w:p>
        </w:tc>
        <w:tc>
          <w:tcPr>
            <w:tcW w:w="2370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3, 5, 8, 9, 12, 19, 20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3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Active Assessment in Mathematics</w:t>
            </w:r>
          </w:p>
        </w:tc>
        <w:tc>
          <w:tcPr>
            <w:tcW w:w="2835" w:type="dxa"/>
            <w:vAlign w:val="center"/>
          </w:tcPr>
          <w:p w:rsidR="006A7725" w:rsidRPr="004A162C" w:rsidRDefault="006A7725" w:rsidP="00713724">
            <w:pPr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Brenda Keogh et al.</w:t>
            </w:r>
          </w:p>
        </w:tc>
        <w:tc>
          <w:tcPr>
            <w:tcW w:w="2370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3, 5, 8, 9, 12, 19, 20</w:t>
            </w:r>
          </w:p>
        </w:tc>
        <w:tc>
          <w:tcPr>
            <w:tcW w:w="891" w:type="dxa"/>
            <w:vAlign w:val="center"/>
          </w:tcPr>
          <w:p w:rsidR="006A7725" w:rsidRPr="004A162C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 w:rsidRPr="004A162C">
              <w:rPr>
                <w:rFonts w:ascii="Trebuchet MS" w:hAnsi="Trebuchet MS"/>
              </w:rPr>
              <w:t>3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Active Assessment in Science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Stuart Naylor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3, 5, 8, 9, 12, 19, 20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Assessment for Learning: Sharing Learning Outcomes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Cambridge Education</w:t>
            </w:r>
          </w:p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1, 2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>Assessment for Learning: Sharing Learning Intentions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Ian Smith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1, 2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Assessment for Learning: Making Feedback Count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Cambridge Education</w:t>
            </w:r>
          </w:p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Assessment for Learning: Making Feedback Count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Ian Smith</w:t>
            </w:r>
          </w:p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Assessment for Learning: Asking Better Questions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Cambridge Education</w:t>
            </w:r>
          </w:p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9, 11, 13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Assessment for Learning: Asking Better Questions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Ian Smith</w:t>
            </w:r>
          </w:p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9, 11, 13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Assessment for Learning: Promoting Assessment by Pupils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Cambridge Education</w:t>
            </w:r>
          </w:p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11, 12, 15, 19, 20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Assessment for Learning: Promoting Assessment by Pupils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Ian Smith</w:t>
            </w:r>
          </w:p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11, 12, 15, 19, 20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Visible Learning for Teachers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John Hattie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1, 2, 3, 5, 8, 9, 10, 11, 15, 19, 20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Embedded Formative Assessment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Dylan </w:t>
            </w:r>
            <w:proofErr w:type="spellStart"/>
            <w:r>
              <w:rPr>
                <w:rFonts w:ascii="Trebuchet MS" w:hAnsi="Trebuchet MS"/>
              </w:rPr>
              <w:t>Wiliam</w:t>
            </w:r>
            <w:proofErr w:type="spellEnd"/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1, 2, 3, 5, 8, 9, 10, 11, 12, 13, 15, 19, 20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Embedding Formative Assessment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Dylan </w:t>
            </w:r>
            <w:proofErr w:type="spellStart"/>
            <w:r>
              <w:rPr>
                <w:rFonts w:ascii="Trebuchet MS" w:hAnsi="Trebuchet MS"/>
              </w:rPr>
              <w:t>Wiliam</w:t>
            </w:r>
            <w:proofErr w:type="spellEnd"/>
            <w:r>
              <w:rPr>
                <w:rFonts w:ascii="Trebuchet MS" w:hAnsi="Trebuchet MS"/>
              </w:rPr>
              <w:t xml:space="preserve"> &amp; Siobhan Leahy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1, 2, 3, 5, 8, 9, 10, 11, 12, 13, 15, 19, 20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Assessment for Learning: Mark Less to Achieve More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Learning Unlimited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Learning Classroom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Brian Boyd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1-20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4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Understanding Challenging Behaviour in Inclusive Classrooms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Colin Lever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17, 18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High Performers: The Secrets of Successful Schools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Alistair Smith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1-20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Creative Teaching Pocketbook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Roy-Watson-Davis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3, 5, 9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Teaching Thinking Pocketbook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Anne de </w:t>
            </w:r>
            <w:proofErr w:type="spellStart"/>
            <w:r>
              <w:rPr>
                <w:rFonts w:ascii="Trebuchet MS" w:hAnsi="Trebuchet MS"/>
              </w:rPr>
              <w:t>A’Echevarria</w:t>
            </w:r>
            <w:proofErr w:type="spellEnd"/>
            <w:r>
              <w:rPr>
                <w:rFonts w:ascii="Trebuchet MS" w:hAnsi="Trebuchet MS"/>
              </w:rPr>
              <w:t xml:space="preserve"> &amp; Ian Patience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5, 12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Behaviour Management Pocketbook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Peter Hook &amp; Andy Vass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17, 18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Challenging Behaviours Pocketbook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Fintan</w:t>
            </w:r>
            <w:proofErr w:type="spellEnd"/>
            <w:r>
              <w:rPr>
                <w:rFonts w:ascii="Trebuchet MS" w:hAnsi="Trebuchet MS"/>
              </w:rPr>
              <w:t xml:space="preserve"> </w:t>
            </w:r>
            <w:proofErr w:type="spellStart"/>
            <w:r>
              <w:rPr>
                <w:rFonts w:ascii="Trebuchet MS" w:hAnsi="Trebuchet MS"/>
              </w:rPr>
              <w:t>O’Regan</w:t>
            </w:r>
            <w:proofErr w:type="spellEnd"/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17, 18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Cooperative Learning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Spencer </w:t>
            </w:r>
            <w:proofErr w:type="spellStart"/>
            <w:r>
              <w:rPr>
                <w:rFonts w:ascii="Trebuchet MS" w:hAnsi="Trebuchet MS"/>
              </w:rPr>
              <w:t>Kagan</w:t>
            </w:r>
            <w:proofErr w:type="spellEnd"/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5, 8, 11, 13, 14, 15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Magic-Weaving Business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John Jones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17, 18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Principles of Educational Leadership &amp; Management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Tony Bush et al.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Coaching &amp; Reflecting Pocketbook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Peter Hook et. al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  <w:tr w:rsidR="006A7725" w:rsidTr="00713724">
        <w:trPr>
          <w:trHeight w:val="511"/>
        </w:trPr>
        <w:tc>
          <w:tcPr>
            <w:tcW w:w="4644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Strategies for Closing the Learning Gap</w:t>
            </w:r>
          </w:p>
        </w:tc>
        <w:tc>
          <w:tcPr>
            <w:tcW w:w="2835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Mike Hughes</w:t>
            </w:r>
          </w:p>
        </w:tc>
        <w:tc>
          <w:tcPr>
            <w:tcW w:w="2370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1-20</w:t>
            </w:r>
          </w:p>
        </w:tc>
        <w:tc>
          <w:tcPr>
            <w:tcW w:w="891" w:type="dxa"/>
            <w:vAlign w:val="center"/>
          </w:tcPr>
          <w:p w:rsidR="006A7725" w:rsidRDefault="006A7725" w:rsidP="00713724">
            <w:pPr>
              <w:tabs>
                <w:tab w:val="left" w:pos="6804"/>
              </w:tabs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1</w:t>
            </w:r>
          </w:p>
        </w:tc>
      </w:tr>
    </w:tbl>
    <w:p w:rsidR="00DC2EE3" w:rsidRDefault="00DC2EE3" w:rsidP="00DC2EE3">
      <w:pPr>
        <w:tabs>
          <w:tab w:val="left" w:pos="6804"/>
        </w:tabs>
        <w:rPr>
          <w:rFonts w:ascii="Trebuchet MS" w:hAnsi="Trebuchet MS"/>
        </w:rPr>
      </w:pPr>
    </w:p>
    <w:p w:rsidR="009956C0" w:rsidRDefault="009956C0" w:rsidP="009956C0">
      <w:pPr>
        <w:jc w:val="center"/>
        <w:rPr>
          <w:rFonts w:ascii="Trebuchet MS" w:hAnsi="Trebuchet MS"/>
          <w:i/>
        </w:rPr>
      </w:pPr>
    </w:p>
    <w:p w:rsidR="009956C0" w:rsidRDefault="009956C0" w:rsidP="009956C0">
      <w:pPr>
        <w:jc w:val="center"/>
        <w:rPr>
          <w:rFonts w:ascii="Trebuchet MS" w:hAnsi="Trebuchet MS"/>
          <w:i/>
        </w:rPr>
      </w:pPr>
      <w:r w:rsidRPr="009956C0">
        <w:rPr>
          <w:rFonts w:ascii="Trebuchet MS" w:hAnsi="Trebuchet MS"/>
          <w:i/>
        </w:rPr>
        <w:t xml:space="preserve">Updated </w:t>
      </w:r>
      <w:r w:rsidR="004705EC">
        <w:rPr>
          <w:rFonts w:ascii="Trebuchet MS" w:hAnsi="Trebuchet MS"/>
          <w:i/>
        </w:rPr>
        <w:t>September</w:t>
      </w:r>
      <w:r w:rsidR="00713724">
        <w:rPr>
          <w:rFonts w:ascii="Trebuchet MS" w:hAnsi="Trebuchet MS"/>
          <w:i/>
        </w:rPr>
        <w:t xml:space="preserve"> 2018</w:t>
      </w:r>
    </w:p>
    <w:p w:rsidR="009956C0" w:rsidRDefault="009956C0">
      <w:pPr>
        <w:rPr>
          <w:rFonts w:ascii="Trebuchet MS" w:hAnsi="Trebuchet MS"/>
          <w:i/>
        </w:rPr>
      </w:pPr>
      <w:r>
        <w:rPr>
          <w:rFonts w:ascii="Trebuchet MS" w:hAnsi="Trebuchet MS"/>
          <w:i/>
        </w:rPr>
        <w:br w:type="page"/>
      </w:r>
    </w:p>
    <w:p w:rsidR="009956C0" w:rsidRDefault="009956C0" w:rsidP="009956C0">
      <w:pPr>
        <w:jc w:val="center"/>
        <w:rPr>
          <w:rFonts w:ascii="Trebuchet MS" w:hAnsi="Trebuchet MS"/>
          <w:b/>
          <w:color w:val="4F81BD" w:themeColor="accent1"/>
          <w:sz w:val="36"/>
        </w:rPr>
      </w:pPr>
      <w:r>
        <w:rPr>
          <w:b/>
          <w:noProof/>
          <w:sz w:val="24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114C5FAF" wp14:editId="39FF8A20">
            <wp:simplePos x="0" y="0"/>
            <wp:positionH relativeFrom="column">
              <wp:posOffset>2825750</wp:posOffset>
            </wp:positionH>
            <wp:positionV relativeFrom="paragraph">
              <wp:posOffset>64135</wp:posOffset>
            </wp:positionV>
            <wp:extent cx="1073785" cy="1045210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hslrg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78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56C0" w:rsidRDefault="009956C0" w:rsidP="009956C0">
      <w:pPr>
        <w:jc w:val="center"/>
        <w:rPr>
          <w:rFonts w:ascii="Trebuchet MS" w:hAnsi="Trebuchet MS"/>
          <w:b/>
          <w:color w:val="4F81BD" w:themeColor="accent1"/>
          <w:sz w:val="36"/>
        </w:rPr>
      </w:pPr>
    </w:p>
    <w:p w:rsidR="009956C0" w:rsidRDefault="009956C0" w:rsidP="009956C0">
      <w:pPr>
        <w:jc w:val="center"/>
        <w:rPr>
          <w:rFonts w:ascii="Trebuchet MS" w:hAnsi="Trebuchet MS"/>
          <w:b/>
          <w:color w:val="4F81BD" w:themeColor="accent1"/>
          <w:sz w:val="36"/>
        </w:rPr>
      </w:pPr>
    </w:p>
    <w:p w:rsidR="009956C0" w:rsidRDefault="009956C0" w:rsidP="009956C0">
      <w:pPr>
        <w:jc w:val="center"/>
        <w:rPr>
          <w:rFonts w:ascii="Trebuchet MS" w:hAnsi="Trebuchet MS"/>
          <w:b/>
          <w:color w:val="4F81BD" w:themeColor="accent1"/>
          <w:sz w:val="36"/>
        </w:rPr>
      </w:pPr>
    </w:p>
    <w:p w:rsidR="009956C0" w:rsidRPr="009956C0" w:rsidRDefault="009956C0" w:rsidP="009956C0">
      <w:pPr>
        <w:jc w:val="center"/>
        <w:rPr>
          <w:rFonts w:ascii="Trebuchet MS" w:hAnsi="Trebuchet MS"/>
          <w:b/>
          <w:color w:val="4F81BD" w:themeColor="accent1"/>
        </w:rPr>
      </w:pPr>
    </w:p>
    <w:p w:rsidR="009956C0" w:rsidRPr="009956C0" w:rsidRDefault="009956C0" w:rsidP="009956C0">
      <w:pPr>
        <w:jc w:val="center"/>
        <w:rPr>
          <w:rFonts w:ascii="Trebuchet MS" w:hAnsi="Trebuchet MS"/>
          <w:b/>
          <w:color w:val="4F81BD" w:themeColor="accent1"/>
          <w:sz w:val="36"/>
        </w:rPr>
      </w:pPr>
      <w:r w:rsidRPr="009956C0">
        <w:rPr>
          <w:rFonts w:ascii="Trebuchet MS" w:hAnsi="Trebuchet MS"/>
          <w:b/>
          <w:color w:val="4F81BD" w:themeColor="accent1"/>
          <w:sz w:val="36"/>
        </w:rPr>
        <w:t>Eyemouth High School Professional Reading Library</w:t>
      </w:r>
    </w:p>
    <w:p w:rsidR="009956C0" w:rsidRPr="009956C0" w:rsidRDefault="009956C0" w:rsidP="009956C0">
      <w:pPr>
        <w:jc w:val="center"/>
        <w:rPr>
          <w:rFonts w:ascii="Trebuchet MS" w:hAnsi="Trebuchet MS"/>
          <w:b/>
          <w:sz w:val="36"/>
        </w:rPr>
      </w:pPr>
      <w:r>
        <w:rPr>
          <w:rFonts w:ascii="Trebuchet MS" w:hAnsi="Trebuchet MS"/>
          <w:b/>
          <w:sz w:val="36"/>
        </w:rPr>
        <w:t>Sign-out sheet</w:t>
      </w:r>
    </w:p>
    <w:p w:rsidR="00DC2EE3" w:rsidRDefault="00DC2EE3" w:rsidP="009956C0">
      <w:pPr>
        <w:jc w:val="center"/>
        <w:rPr>
          <w:rFonts w:ascii="Trebuchet MS" w:hAnsi="Trebuchet MS"/>
          <w:i/>
        </w:rPr>
      </w:pPr>
    </w:p>
    <w:p w:rsidR="009956C0" w:rsidRDefault="009956C0" w:rsidP="009956C0">
      <w:pPr>
        <w:ind w:left="426"/>
        <w:rPr>
          <w:rFonts w:ascii="Trebuchet MS" w:hAnsi="Trebuchet MS"/>
        </w:rPr>
      </w:pPr>
      <w:proofErr w:type="gramStart"/>
      <w:r>
        <w:rPr>
          <w:rFonts w:ascii="Trebuchet MS" w:hAnsi="Trebuchet MS"/>
        </w:rPr>
        <w:t>Staff are</w:t>
      </w:r>
      <w:proofErr w:type="gramEnd"/>
      <w:r>
        <w:rPr>
          <w:rFonts w:ascii="Trebuchet MS" w:hAnsi="Trebuchet MS"/>
        </w:rPr>
        <w:t xml:space="preserve"> welcome to borrow books from the school’s Professional Reading Library. If you are borrowing a book, we ask that you:</w:t>
      </w:r>
    </w:p>
    <w:p w:rsidR="009956C0" w:rsidRDefault="009956C0" w:rsidP="009956C0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>
        <w:rPr>
          <w:rFonts w:ascii="Trebuchet MS" w:hAnsi="Trebuchet MS"/>
        </w:rPr>
        <w:t>Sign it out;</w:t>
      </w:r>
    </w:p>
    <w:p w:rsidR="009956C0" w:rsidRDefault="009956C0" w:rsidP="009956C0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>
        <w:rPr>
          <w:rFonts w:ascii="Trebuchet MS" w:hAnsi="Trebuchet MS"/>
        </w:rPr>
        <w:t>Look after it;</w:t>
      </w:r>
    </w:p>
    <w:p w:rsidR="009956C0" w:rsidRDefault="009956C0" w:rsidP="009956C0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>
        <w:rPr>
          <w:rFonts w:ascii="Trebuchet MS" w:hAnsi="Trebuchet MS"/>
        </w:rPr>
        <w:t>Return it within a reasonable time-frame;</w:t>
      </w:r>
    </w:p>
    <w:p w:rsidR="009956C0" w:rsidRPr="009956C0" w:rsidRDefault="009956C0" w:rsidP="009956C0">
      <w:pPr>
        <w:pStyle w:val="ListParagraph"/>
        <w:numPr>
          <w:ilvl w:val="0"/>
          <w:numId w:val="1"/>
        </w:numPr>
        <w:rPr>
          <w:rFonts w:ascii="Trebuchet MS" w:hAnsi="Trebuchet MS"/>
        </w:rPr>
      </w:pPr>
      <w:r w:rsidRPr="009956C0">
        <w:rPr>
          <w:rFonts w:ascii="Trebuchet MS" w:hAnsi="Trebuchet MS"/>
        </w:rPr>
        <w:t>Sign-it back in.</w:t>
      </w:r>
    </w:p>
    <w:p w:rsidR="009956C0" w:rsidRDefault="009956C0" w:rsidP="009956C0">
      <w:pPr>
        <w:rPr>
          <w:rFonts w:ascii="Trebuchet MS" w:hAnsi="Trebuchet MS"/>
        </w:rPr>
      </w:pPr>
    </w:p>
    <w:tbl>
      <w:tblPr>
        <w:tblStyle w:val="TableGrid"/>
        <w:tblW w:w="0" w:type="auto"/>
        <w:tblInd w:w="426" w:type="dxa"/>
        <w:tblLook w:val="04A0" w:firstRow="1" w:lastRow="0" w:firstColumn="1" w:lastColumn="0" w:noHBand="0" w:noVBand="1"/>
      </w:tblPr>
      <w:tblGrid>
        <w:gridCol w:w="4102"/>
        <w:gridCol w:w="2951"/>
        <w:gridCol w:w="1641"/>
        <w:gridCol w:w="1642"/>
      </w:tblGrid>
      <w:tr w:rsidR="009956C0" w:rsidTr="009956C0">
        <w:tc>
          <w:tcPr>
            <w:tcW w:w="4102" w:type="dxa"/>
            <w:vAlign w:val="center"/>
          </w:tcPr>
          <w:p w:rsidR="009956C0" w:rsidRPr="009956C0" w:rsidRDefault="009956C0" w:rsidP="009956C0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9956C0">
              <w:rPr>
                <w:rFonts w:ascii="Trebuchet MS" w:hAnsi="Trebuchet MS"/>
                <w:b/>
                <w:sz w:val="24"/>
              </w:rPr>
              <w:t>Name of book + author</w:t>
            </w:r>
          </w:p>
        </w:tc>
        <w:tc>
          <w:tcPr>
            <w:tcW w:w="2951" w:type="dxa"/>
            <w:vAlign w:val="center"/>
          </w:tcPr>
          <w:p w:rsidR="009956C0" w:rsidRPr="009956C0" w:rsidRDefault="009956C0" w:rsidP="009956C0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9956C0">
              <w:rPr>
                <w:rFonts w:ascii="Trebuchet MS" w:hAnsi="Trebuchet MS"/>
                <w:b/>
                <w:sz w:val="24"/>
              </w:rPr>
              <w:t>Name of staff member borrowing book</w:t>
            </w:r>
          </w:p>
        </w:tc>
        <w:tc>
          <w:tcPr>
            <w:tcW w:w="1641" w:type="dxa"/>
            <w:vAlign w:val="center"/>
          </w:tcPr>
          <w:p w:rsidR="009956C0" w:rsidRPr="009956C0" w:rsidRDefault="009956C0" w:rsidP="009956C0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9956C0">
              <w:rPr>
                <w:rFonts w:ascii="Trebuchet MS" w:hAnsi="Trebuchet MS"/>
                <w:b/>
                <w:sz w:val="24"/>
              </w:rPr>
              <w:t>Date borrowed</w:t>
            </w:r>
          </w:p>
        </w:tc>
        <w:tc>
          <w:tcPr>
            <w:tcW w:w="1642" w:type="dxa"/>
            <w:vAlign w:val="center"/>
          </w:tcPr>
          <w:p w:rsidR="009956C0" w:rsidRPr="009956C0" w:rsidRDefault="009956C0" w:rsidP="009956C0">
            <w:pPr>
              <w:jc w:val="center"/>
              <w:rPr>
                <w:rFonts w:ascii="Trebuchet MS" w:hAnsi="Trebuchet MS"/>
                <w:b/>
                <w:sz w:val="24"/>
              </w:rPr>
            </w:pPr>
            <w:r w:rsidRPr="009956C0">
              <w:rPr>
                <w:rFonts w:ascii="Trebuchet MS" w:hAnsi="Trebuchet MS"/>
                <w:b/>
                <w:sz w:val="24"/>
              </w:rPr>
              <w:t>Date returned</w:t>
            </w:r>
          </w:p>
        </w:tc>
      </w:tr>
      <w:tr w:rsidR="009956C0" w:rsidTr="009956C0">
        <w:trPr>
          <w:trHeight w:val="518"/>
        </w:trPr>
        <w:tc>
          <w:tcPr>
            <w:tcW w:w="410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</w:tr>
      <w:tr w:rsidR="009956C0" w:rsidTr="009956C0">
        <w:trPr>
          <w:trHeight w:val="518"/>
        </w:trPr>
        <w:tc>
          <w:tcPr>
            <w:tcW w:w="410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</w:tr>
      <w:tr w:rsidR="009956C0" w:rsidTr="009956C0">
        <w:trPr>
          <w:trHeight w:val="518"/>
        </w:trPr>
        <w:tc>
          <w:tcPr>
            <w:tcW w:w="410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</w:tr>
      <w:tr w:rsidR="009956C0" w:rsidTr="009956C0">
        <w:trPr>
          <w:trHeight w:val="518"/>
        </w:trPr>
        <w:tc>
          <w:tcPr>
            <w:tcW w:w="410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</w:tr>
      <w:tr w:rsidR="009956C0" w:rsidTr="009956C0">
        <w:trPr>
          <w:trHeight w:val="518"/>
        </w:trPr>
        <w:tc>
          <w:tcPr>
            <w:tcW w:w="410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</w:tr>
      <w:tr w:rsidR="009956C0" w:rsidTr="009956C0">
        <w:trPr>
          <w:trHeight w:val="518"/>
        </w:trPr>
        <w:tc>
          <w:tcPr>
            <w:tcW w:w="410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</w:tr>
      <w:tr w:rsidR="009956C0" w:rsidTr="009956C0">
        <w:trPr>
          <w:trHeight w:val="518"/>
        </w:trPr>
        <w:tc>
          <w:tcPr>
            <w:tcW w:w="410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</w:tr>
      <w:tr w:rsidR="009956C0" w:rsidTr="009956C0">
        <w:trPr>
          <w:trHeight w:val="518"/>
        </w:trPr>
        <w:tc>
          <w:tcPr>
            <w:tcW w:w="410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9956C0">
            <w:pPr>
              <w:rPr>
                <w:rFonts w:ascii="Trebuchet MS" w:hAnsi="Trebuchet MS"/>
              </w:rPr>
            </w:pPr>
          </w:p>
        </w:tc>
      </w:tr>
      <w:tr w:rsidR="009956C0" w:rsidTr="007A77A9">
        <w:trPr>
          <w:trHeight w:val="518"/>
        </w:trPr>
        <w:tc>
          <w:tcPr>
            <w:tcW w:w="410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</w:tr>
      <w:tr w:rsidR="009956C0" w:rsidTr="007A77A9">
        <w:trPr>
          <w:trHeight w:val="518"/>
        </w:trPr>
        <w:tc>
          <w:tcPr>
            <w:tcW w:w="410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</w:tr>
      <w:tr w:rsidR="009956C0" w:rsidTr="007A77A9">
        <w:trPr>
          <w:trHeight w:val="518"/>
        </w:trPr>
        <w:tc>
          <w:tcPr>
            <w:tcW w:w="410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</w:tr>
      <w:tr w:rsidR="009956C0" w:rsidTr="007A77A9">
        <w:trPr>
          <w:trHeight w:val="518"/>
        </w:trPr>
        <w:tc>
          <w:tcPr>
            <w:tcW w:w="410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</w:tr>
      <w:tr w:rsidR="009956C0" w:rsidTr="007A77A9">
        <w:trPr>
          <w:trHeight w:val="518"/>
        </w:trPr>
        <w:tc>
          <w:tcPr>
            <w:tcW w:w="410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</w:tr>
      <w:tr w:rsidR="009956C0" w:rsidTr="007A77A9">
        <w:trPr>
          <w:trHeight w:val="518"/>
        </w:trPr>
        <w:tc>
          <w:tcPr>
            <w:tcW w:w="410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</w:tr>
      <w:tr w:rsidR="009956C0" w:rsidTr="007A77A9">
        <w:trPr>
          <w:trHeight w:val="518"/>
        </w:trPr>
        <w:tc>
          <w:tcPr>
            <w:tcW w:w="410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</w:tr>
      <w:tr w:rsidR="009956C0" w:rsidTr="007A77A9">
        <w:trPr>
          <w:trHeight w:val="518"/>
        </w:trPr>
        <w:tc>
          <w:tcPr>
            <w:tcW w:w="410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</w:tr>
      <w:tr w:rsidR="009956C0" w:rsidTr="007A77A9">
        <w:trPr>
          <w:trHeight w:val="518"/>
        </w:trPr>
        <w:tc>
          <w:tcPr>
            <w:tcW w:w="410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</w:tr>
      <w:tr w:rsidR="009956C0" w:rsidTr="007A77A9">
        <w:trPr>
          <w:trHeight w:val="518"/>
        </w:trPr>
        <w:tc>
          <w:tcPr>
            <w:tcW w:w="410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295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1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  <w:tc>
          <w:tcPr>
            <w:tcW w:w="1642" w:type="dxa"/>
          </w:tcPr>
          <w:p w:rsidR="009956C0" w:rsidRDefault="009956C0" w:rsidP="007A77A9">
            <w:pPr>
              <w:rPr>
                <w:rFonts w:ascii="Trebuchet MS" w:hAnsi="Trebuchet MS"/>
              </w:rPr>
            </w:pPr>
          </w:p>
        </w:tc>
      </w:tr>
    </w:tbl>
    <w:p w:rsidR="009956C0" w:rsidRPr="009956C0" w:rsidRDefault="009956C0" w:rsidP="009956C0">
      <w:pPr>
        <w:ind w:left="426"/>
        <w:rPr>
          <w:rFonts w:ascii="Trebuchet MS" w:hAnsi="Trebuchet MS"/>
        </w:rPr>
      </w:pPr>
    </w:p>
    <w:sectPr w:rsidR="009956C0" w:rsidRPr="009956C0" w:rsidSect="000C3550"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E7565"/>
    <w:multiLevelType w:val="hybridMultilevel"/>
    <w:tmpl w:val="CCC8903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EE3"/>
    <w:rsid w:val="000C3550"/>
    <w:rsid w:val="004705EC"/>
    <w:rsid w:val="004A162C"/>
    <w:rsid w:val="004F0D43"/>
    <w:rsid w:val="00531302"/>
    <w:rsid w:val="00635D13"/>
    <w:rsid w:val="006A7725"/>
    <w:rsid w:val="00713724"/>
    <w:rsid w:val="00766D33"/>
    <w:rsid w:val="009956C0"/>
    <w:rsid w:val="00B8643F"/>
    <w:rsid w:val="00CE4A72"/>
    <w:rsid w:val="00DC2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2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956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6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956C0"/>
    <w:pPr>
      <w:ind w:left="720"/>
      <w:contextualSpacing/>
    </w:pPr>
  </w:style>
  <w:style w:type="character" w:customStyle="1" w:styleId="a-size-extra-large">
    <w:name w:val="a-size-extra-large"/>
    <w:basedOn w:val="DefaultParagraphFont"/>
    <w:rsid w:val="006A77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2E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956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6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956C0"/>
    <w:pPr>
      <w:ind w:left="720"/>
      <w:contextualSpacing/>
    </w:pPr>
  </w:style>
  <w:style w:type="character" w:customStyle="1" w:styleId="a-size-extra-large">
    <w:name w:val="a-size-extra-large"/>
    <w:basedOn w:val="DefaultParagraphFont"/>
    <w:rsid w:val="006A7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7EA33-BE4A-4E32-9840-60BCA4C09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Bruce Robertson</dc:creator>
  <cp:lastModifiedBy>Bruce Robertson</cp:lastModifiedBy>
  <cp:revision>4</cp:revision>
  <cp:lastPrinted>2018-06-08T13:07:00Z</cp:lastPrinted>
  <dcterms:created xsi:type="dcterms:W3CDTF">2017-11-09T11:40:00Z</dcterms:created>
  <dcterms:modified xsi:type="dcterms:W3CDTF">2018-09-07T11:34:00Z</dcterms:modified>
</cp:coreProperties>
</file>